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ИНФОРМАЦИЯ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об основных итогах контрольного мероприятия 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«</w:t>
      </w:r>
      <w:r>
        <w:rPr>
          <w:rFonts w:eastAsia="Arial" w:cs="Times New Roman" w:ascii="Times New Roman" w:hAnsi="Times New Roman"/>
          <w:b/>
          <w:color w:val="000000"/>
          <w:sz w:val="28"/>
          <w:szCs w:val="28"/>
        </w:rPr>
        <w:t>Аудит закупки товаров, работ и услуг на содержание и ремонт</w:t>
      </w:r>
    </w:p>
    <w:p>
      <w:pPr>
        <w:pStyle w:val="Normal"/>
        <w:jc w:val="center"/>
        <w:rPr/>
      </w:pPr>
      <w:r>
        <w:rPr>
          <w:rFonts w:eastAsia="Arial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Arial" w:cs="Times New Roman" w:ascii="Times New Roman" w:hAnsi="Times New Roman"/>
          <w:b/>
          <w:color w:val="000000"/>
          <w:sz w:val="28"/>
          <w:szCs w:val="28"/>
        </w:rPr>
        <w:t>детских игровых пло</w:t>
        <w:softHyphen/>
        <w:t>щадок г. Фрязино в 2016 году</w:t>
      </w:r>
      <w:r>
        <w:rPr>
          <w:rFonts w:eastAsia="Arial" w:cs="Times New Roman" w:ascii="Times New Roman" w:hAnsi="Times New Roman"/>
          <w:b/>
          <w:bCs/>
          <w:color w:val="000000"/>
          <w:sz w:val="28"/>
          <w:szCs w:val="28"/>
        </w:rPr>
        <w:t>»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5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 соответствии </w:t>
      </w:r>
      <w:r>
        <w:rPr>
          <w:rFonts w:eastAsia="Times New Roman" w:cs="Times New Roman" w:ascii="Times New Roman" w:hAnsi="Times New Roman"/>
          <w:sz w:val="28"/>
          <w:szCs w:val="20"/>
          <w:u w:val="none"/>
        </w:rPr>
        <w:t>с п</w:t>
      </w:r>
      <w:r>
        <w:rPr>
          <w:rFonts w:eastAsia="Liberation Serif" w:cs="Liberation Serif" w:ascii="Times New Roman" w:hAnsi="Times New Roman"/>
          <w:color w:val="000000"/>
          <w:sz w:val="28"/>
          <w:szCs w:val="28"/>
        </w:rPr>
        <w:t xml:space="preserve">оручением </w:t>
      </w:r>
      <w:r>
        <w:rPr>
          <w:rFonts w:eastAsia="Liberation Serif;Times New Roman" w:cs="Liberation Serif;Times New Roman" w:ascii="Times New Roman" w:hAnsi="Times New Roman"/>
          <w:color w:val="000000"/>
          <w:sz w:val="28"/>
          <w:szCs w:val="28"/>
        </w:rPr>
        <w:t xml:space="preserve">Щелковской городской прокуратуры, </w:t>
      </w:r>
      <w:r>
        <w:rPr>
          <w:rFonts w:eastAsia="Times New Roman" w:cs="Liberation Serif" w:ascii="Times New Roman" w:hAnsi="Times New Roman"/>
          <w:color w:val="000000"/>
          <w:sz w:val="28"/>
          <w:szCs w:val="28"/>
        </w:rPr>
        <w:t xml:space="preserve">пунктом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2.11 плана работы Контрольно-счетной пала</w:t>
        <w:softHyphen/>
        <w:t>ты города Фрязино на 2017 год, утвержденного распоряжением председателя  Контрольно-счетной палаты от 30.12.2016 №  82  (в ред. от 01.09.2017), в пери</w:t>
        <w:softHyphen/>
        <w:t xml:space="preserve">од с 05 по 25 сентября 2017 года проведено контрольное мероприятие  </w:t>
      </w:r>
      <w:r>
        <w:rPr>
          <w:rFonts w:eastAsia="Arial" w:cs="Times New Roman" w:ascii="Times New Roman" w:hAnsi="Times New Roman"/>
          <w:color w:val="000000"/>
          <w:sz w:val="28"/>
          <w:szCs w:val="28"/>
        </w:rPr>
        <w:t>«Аудит закупки товаров, работ и услуг на содержание и ремонт детских игровых пло</w:t>
        <w:softHyphen/>
        <w:t xml:space="preserve">щадок г. Фрязино в 2016 году» </w:t>
      </w:r>
      <w:r>
        <w:rPr>
          <w:rFonts w:eastAsia="Arial" w:cs="Liberation Serif" w:ascii="Times New Roman" w:hAnsi="Times New Roman"/>
          <w:color w:val="000000"/>
          <w:sz w:val="28"/>
          <w:szCs w:val="28"/>
        </w:rPr>
        <w:t xml:space="preserve">(далее -  </w:t>
      </w:r>
      <w:r>
        <w:rPr>
          <w:rFonts w:eastAsia="Times New Roman" w:cs="Liberation Serif" w:ascii="Times New Roman" w:hAnsi="Times New Roman"/>
          <w:color w:val="000000"/>
          <w:sz w:val="28"/>
          <w:szCs w:val="28"/>
        </w:rPr>
        <w:t>контрольное мероприятие).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Liberation Serif"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eastAsia="Times New Roman" w:cs="Liberation Serif" w:ascii="Times New Roman" w:hAnsi="Times New Roman"/>
          <w:color w:val="000000"/>
          <w:sz w:val="28"/>
          <w:szCs w:val="28"/>
        </w:rPr>
        <w:t xml:space="preserve">В результате проведения контрольного мероприятия установлено: </w:t>
      </w:r>
    </w:p>
    <w:p>
      <w:pPr>
        <w:pStyle w:val="Style15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SimSun;宋体" w:ascii="Times New Roman" w:hAnsi="Times New Roman"/>
          <w:color w:val="00000A"/>
          <w:spacing w:val="2"/>
          <w:sz w:val="28"/>
          <w:szCs w:val="28"/>
          <w:lang w:bidi="hi-IN"/>
        </w:rPr>
        <w:t xml:space="preserve">1. Предметом </w:t>
      </w:r>
      <w:r>
        <w:rPr>
          <w:rFonts w:eastAsia="Times New Roman" w:ascii="Times New Roman" w:hAnsi="Times New Roman"/>
          <w:color w:val="000000"/>
          <w:spacing w:val="2"/>
          <w:sz w:val="28"/>
          <w:szCs w:val="28"/>
          <w:lang w:bidi="hi-IN"/>
        </w:rPr>
        <w:t xml:space="preserve">контрольного мероприятия является </w:t>
      </w:r>
      <w:r>
        <w:rPr>
          <w:rFonts w:eastAsia="SimSun;宋体" w:cs="Times New Roman" w:ascii="Times New Roman" w:hAnsi="Times New Roman"/>
          <w:bCs/>
          <w:color w:val="00000A"/>
          <w:spacing w:val="2"/>
          <w:sz w:val="28"/>
          <w:szCs w:val="28"/>
          <w:lang w:bidi="hi-IN"/>
        </w:rPr>
        <w:t>контракт от 10.10.2016  № 0848300066516000108-0555361-01, заключенный МБУ «Городское хозяйство» (далее - Заказчик) с ООО «ЩЕЛГАЗ</w:t>
        <w:softHyphen/>
        <w:t xml:space="preserve">МОНТАЖ ПЛЮС» (далее — Подрядчик) на выполнение работ по содержанию и ремонту детских игровых площадок (далее — контракт) ценой </w:t>
      </w:r>
      <w:r>
        <w:rPr>
          <w:rFonts w:eastAsia="Times New Roman" w:cs="Times New Roman" w:ascii="Times New Roman" w:hAnsi="Times New Roman"/>
          <w:b w:val="false"/>
          <w:bCs/>
          <w:color w:val="00000A"/>
          <w:spacing w:val="2"/>
          <w:sz w:val="28"/>
          <w:szCs w:val="28"/>
          <w:lang w:bidi="hi-IN"/>
        </w:rPr>
        <w:t>394 896,39 руб. со сроком исполнения 31 декабря 2016 года</w:t>
      </w:r>
      <w:r>
        <w:rPr>
          <w:rFonts w:eastAsia="SimSun;宋体" w:cs="Times New Roman" w:ascii="Times New Roman" w:hAnsi="Times New Roman"/>
          <w:bCs/>
          <w:color w:val="00000A"/>
          <w:spacing w:val="2"/>
          <w:sz w:val="28"/>
          <w:szCs w:val="28"/>
          <w:lang w:bidi="hi-IN"/>
        </w:rPr>
        <w:t>.</w:t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eastAsia="SimSun;宋体" w:cs="Times New Roman"/>
          <w:color w:val="00000A"/>
          <w:spacing w:val="2"/>
          <w:sz w:val="28"/>
          <w:szCs w:val="28"/>
          <w:lang w:bidi="hi-IN"/>
        </w:rPr>
      </w:pPr>
      <w:r>
        <w:rPr>
          <w:rFonts w:eastAsia="SimSun;宋体" w:cs="Times New Roman" w:ascii="Times New Roman" w:hAnsi="Times New Roman"/>
          <w:color w:val="00000A"/>
          <w:spacing w:val="2"/>
          <w:sz w:val="28"/>
          <w:szCs w:val="28"/>
          <w:lang w:bidi="hi-IN"/>
        </w:rPr>
        <w:t>2. МБУ «Городское хозяйство» осуществляет закупки товаров, работ, услуг в соответствии с Федеральным законом от 05.04.2013 № 44-ФЗ «О контрактной системе в сфере закупок товаров, работ, услуг для обес</w:t>
        <w:softHyphen/>
        <w:t>печения государственных и муниципальных нужд» (далее - Закон № 44-ФЗ).</w:t>
      </w:r>
    </w:p>
    <w:p>
      <w:pPr>
        <w:pStyle w:val="Style15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SimSun;宋体" w:cs="Times New Roman" w:ascii="Times New Roman" w:hAnsi="Times New Roman"/>
          <w:color w:val="00000A"/>
          <w:spacing w:val="2"/>
          <w:sz w:val="28"/>
          <w:szCs w:val="28"/>
          <w:lang w:bidi="hi-IN"/>
        </w:rPr>
        <w:t>3. Закупка «В</w:t>
      </w:r>
      <w:r>
        <w:rPr>
          <w:rFonts w:eastAsia="SimSun;宋体" w:cs="Times New Roman" w:ascii="Times New Roman" w:hAnsi="Times New Roman"/>
          <w:bCs/>
          <w:color w:val="00000A"/>
          <w:spacing w:val="2"/>
          <w:sz w:val="28"/>
          <w:szCs w:val="28"/>
          <w:lang w:bidi="hi-IN"/>
        </w:rPr>
        <w:t xml:space="preserve">ыполнение работ по содержанию и ремонту детских игровых площадок» </w:t>
      </w:r>
      <w:r>
        <w:rPr>
          <w:rFonts w:eastAsia="SimSun;宋体" w:cs="Times New Roman" w:ascii="Times New Roman" w:hAnsi="Times New Roman"/>
          <w:color w:val="00000A"/>
          <w:spacing w:val="2"/>
          <w:sz w:val="28"/>
          <w:szCs w:val="28"/>
          <w:lang w:bidi="hi-IN"/>
        </w:rPr>
        <w:t>включена в план-график закупок МБУ «Городское хозяйство» на 2016 год, который, в нарушение п. 5 совместного приказа Минэкономразвития Рос</w:t>
        <w:softHyphen/>
        <w:t>сии и Федерального казначейства от 27 декабря 2011 г. № 761/20н, раз</w:t>
        <w:softHyphen/>
        <w:t>мещен на официальном сайте в сети «Интернет» zakupki.gov.ru по истечении одного календарного месяца после принятия ре</w:t>
        <w:softHyphen/>
        <w:t xml:space="preserve">шения Совета депутатов о бюджете города Фрязино на 2016 год. </w:t>
      </w:r>
    </w:p>
    <w:p>
      <w:pPr>
        <w:pStyle w:val="Style15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SimSun;宋体" w:cs="Times New Roman" w:ascii="Times New Roman" w:hAnsi="Times New Roman"/>
          <w:color w:val="00000A"/>
          <w:spacing w:val="2"/>
          <w:sz w:val="28"/>
          <w:szCs w:val="28"/>
          <w:lang w:bidi="hi-IN"/>
        </w:rPr>
        <w:t xml:space="preserve">4. </w:t>
      </w:r>
      <w:r>
        <w:rPr>
          <w:rFonts w:eastAsia="Liberation Serif;Times New Roman" w:cs="Times New Roman" w:ascii="Times New Roman" w:hAnsi="Times New Roman"/>
          <w:color w:val="000000"/>
          <w:sz w:val="28"/>
          <w:szCs w:val="28"/>
        </w:rPr>
        <w:t xml:space="preserve">При формировании начальной (максимальной) цены контракта (далее - НМЦК) Заказчиком был  выбран  метод сопоставимых рыночных цен в соответствии со ст. 22 Закона № 44-ФЗ. В качестве обоснования НМЦК Заказчиком предоставлены три коммерческие предложения.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 xml:space="preserve">Однако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 xml:space="preserve">два из трех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>поставщик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 xml:space="preserve"> не отвечали требованиям ч. 5 ст. 22  Закона № 44-ФЗ по предоставлению ценовой информации в сфере проведения работ по содержанию и ремонту детских игровых площадок, поскольку они не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>осуществляет поставки идентичных товаров, работ, услуг и не имеют  опыта выполнения аналогичных контрактов.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 xml:space="preserve"> </w:t>
      </w:r>
    </w:p>
    <w:p>
      <w:pPr>
        <w:pStyle w:val="Style24"/>
        <w:widowControl/>
        <w:suppressAutoHyphens w:val="false"/>
        <w:autoSpaceDE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eastAsia="ru-RU"/>
        </w:rPr>
        <w:t>Таким образом, Заказ</w:t>
        <w:softHyphen/>
        <w:t>чиком были допущены нарушения порядка обоснования НМЦК, установ</w:t>
        <w:softHyphen/>
        <w:t xml:space="preserve">ленного ст. 22  Закона № 44-ФЗ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eastAsia="ru-RU"/>
        </w:rPr>
        <w:t>Методическими рекомендациями по опреде</w:t>
        <w:softHyphen/>
        <w:t>лению НМЦК, утвержденными  Приказом Минэкономразвития Рос</w:t>
        <w:softHyphen/>
        <w:t>сии от 02.10.2013 № 567, что образует состав административного право</w:t>
        <w:softHyphen/>
        <w:t>нарушения, ответственность за которое предусмотрена ст. 7.29.3 Кодек</w:t>
        <w:softHyphen/>
        <w:t>са Рос</w:t>
        <w:softHyphen/>
        <w:t>сийской Федерации об административных правонарушениях.</w:t>
      </w:r>
    </w:p>
    <w:p>
      <w:pPr>
        <w:pStyle w:val="Normal"/>
        <w:widowControl/>
        <w:suppressAutoHyphens w:val="false"/>
        <w:autoSpaceDE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Э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кспертиза результатов выполненных по контракту работ осуществлялась МБУ «Го</w:t>
        <w:softHyphen/>
        <w:t xml:space="preserve">родское хозяйство» в соответствии с ч. 3 ст. 94 Закона № 44-ФЗ  собственными силами. Заключение экспертизы от 31.12.2016 составлено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неуполномоченным на это лицом.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Заказчик,  в нарушение  п. 4.2 контракта, не издавал приказ о назначении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лица,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ответ</w:t>
        <w:softHyphen/>
        <w:t>ственно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за проведение экспертизы результатов выполненных работ.</w:t>
      </w:r>
    </w:p>
    <w:p>
      <w:pPr>
        <w:pStyle w:val="Normal"/>
        <w:widowControl/>
        <w:suppressAutoHyphens w:val="false"/>
        <w:autoSpaceDE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6. Оплата контракта в сумме 394 896,39 руб. произведена 27.01.2017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  <w:t xml:space="preserve">платежным поручением № 77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коду цели 111011П33 (выпол</w:t>
        <w:softHyphen/>
        <w:t>нение муниципального задания за январь 2017 года), что является нецелевым использованием бюджетных средств, поскольку 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  <w:t>огашение кредиторской задолженности по ис</w:t>
        <w:softHyphen/>
        <w:t>полненным контрактам 2016 года за счет средств субсидии на финансовое обеспечение выполнения государственного задания 2017 года Соглашением от 09.01.2017 между МБУ «Городское хозяйство» и администрацией города не предусмотре</w:t>
        <w:softHyphen/>
        <w:t>но.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>
      <w:pPr>
        <w:pStyle w:val="Normal"/>
        <w:widowControl/>
        <w:suppressAutoHyphens w:val="false"/>
        <w:autoSpaceDE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 w:bidi="ar-SA"/>
        </w:rPr>
        <w:t>Таким образом, директор МБУ «Городское хозяйство» допустил направление средств, полученных из бюджета города, на цели, не соот</w:t>
        <w:softHyphen/>
        <w:t xml:space="preserve">ветствующие целям, определенным соглашением,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eastAsia="ru-RU" w:bidi="ar-SA"/>
        </w:rPr>
        <w:t>что образует состав административного правонаруше</w:t>
        <w:softHyphen/>
        <w:t>ния, ответственность за которое предусмотрена ст.  15.14  Кодекса Рос</w:t>
        <w:softHyphen/>
        <w:t>сийской Федерации об администра</w:t>
        <w:softHyphen/>
        <w:t>тивных правонарушениях.</w:t>
      </w:r>
    </w:p>
    <w:p>
      <w:pPr>
        <w:pStyle w:val="Normal"/>
        <w:widowControl/>
        <w:suppressAutoHyphens w:val="false"/>
        <w:autoSpaceDE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eastAsia="ru-RU" w:bidi="ar-SA"/>
        </w:rPr>
        <w:t>7. 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eastAsia="ru-RU" w:bidi="ar-SA"/>
        </w:rPr>
        <w:t>роверка исполнения контракта на его соответ</w:t>
        <w:softHyphen/>
        <w:t xml:space="preserve">ствие условиям контракта установила  завышение объема оплаты выполненных работ на сумму 223 915,21 руб.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eastAsia="ru-RU" w:bidi="ar-SA"/>
        </w:rPr>
        <w:t xml:space="preserve">Подрядчик исполнял контракт с нарушениями условий, предусмотренных контрактом.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 xml:space="preserve"> </w:t>
      </w:r>
    </w:p>
    <w:p>
      <w:pPr>
        <w:pStyle w:val="Normal"/>
        <w:widowControl/>
        <w:suppressAutoHyphens w:val="false"/>
        <w:autoSpaceDE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eastAsia="ru-RU" w:bidi="ar-SA"/>
        </w:rPr>
        <w:t>8. Заказчиком не применены меры ответственности за ненадлежащее исполне</w:t>
        <w:softHyphen/>
        <w:t>ние контракта: не начислен штраф, предусмотренный п. 7.3 контракта, в раз</w:t>
        <w:softHyphen/>
        <w:t>мере 9 872,41 руб., не произведено удержание денежных средств в качестве обеспечения исполнения контракта в размере 208 891,89 руб.</w:t>
      </w:r>
    </w:p>
    <w:p>
      <w:pPr>
        <w:pStyle w:val="Normal"/>
        <w:widowControl/>
        <w:suppressAutoHyphens w:val="false"/>
        <w:autoSpaceDE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9.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eastAsia="ru-RU"/>
        </w:rPr>
        <w:t>Установлено несоответствие перечня ДИП, числящихся на балансе МБУ «Городское хозяйство», и перечня, указанного в контракте: на балансе  68 объектов, в контракте — 159, на балансе 20 песочниц, в контракте — 38.</w:t>
      </w:r>
    </w:p>
    <w:p>
      <w:pPr>
        <w:pStyle w:val="Normal"/>
        <w:widowControl/>
        <w:suppressAutoHyphens w:val="false"/>
        <w:autoSpaceDE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eastAsia="ru-RU"/>
        </w:rPr>
        <w:t>10. На момент проведения проверки демонтировано 163 элемента детских иг</w:t>
        <w:softHyphen/>
        <w:t>ровых площадок. В нарушение Положения о порядке списания муниципального имущества, находящегося в собственности городского округа Фрязино Московской области, утвержденного решением Совета депутатов г. Фрязино от 28.04.2015 № 343  (далее - Положе</w:t>
        <w:softHyphen/>
        <w:t>ние о списании) отсутствуют  акты о списании объектов основных средств. При отсутствии ДИП в натуре демонти</w:t>
        <w:softHyphen/>
        <w:t>рованные объекты до настоящего времени числятся на бухгалтерском учете МБУ «Городское хозяйство».</w:t>
      </w:r>
    </w:p>
    <w:p>
      <w:pPr>
        <w:pStyle w:val="Normal"/>
        <w:widowControl/>
        <w:suppressAutoHyphens w:val="false"/>
        <w:autoSpaceDE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eastAsia="ru-RU"/>
        </w:rPr>
        <w:t>11. В нарушение п. 3.1 Положения о списании, без согласования с КУИЖВ, при отсутствии актов о списании и заключений о состоянии имущества, МБУ «Городское хозяйство» демонтировало семь объектов особо ценного имуще</w:t>
        <w:softHyphen/>
        <w:t>ства балансовой стоимостью 4 664,2 тыс. руб, перечень которого утвержден постановлением Главы города Фрязино от 06.10.2016 № 680.</w:t>
      </w:r>
    </w:p>
    <w:p>
      <w:pPr>
        <w:pStyle w:val="Normal"/>
        <w:widowControl/>
        <w:suppressAutoHyphens w:val="false"/>
        <w:autoSpaceDE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12.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МБУ «Городское хозяйство» демонтировало пять игровых площадок, вве</w:t>
        <w:softHyphen/>
        <w:t>денных в эксплуатацию в 2014 году, износ по которым составляет менее 55%.  Документы, подтверждающие невозможность дальнейшей эксплуатации или нецелесообразность проведения ремонта данного оборудования, отсутствуют. Местонахождение данного имущества в ходе осмотра установить не удалось. Остаточная стоимость демонтированных площадок составляет 2 288,7 тыс. руб.</w:t>
      </w:r>
    </w:p>
    <w:p>
      <w:pPr>
        <w:pStyle w:val="Style15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13. В ходе осмотра зафиксировано, что на складах МБУ «Городское хозяй</w:t>
        <w:softHyphen/>
        <w:t>ство» находятся всего 9 элементов детских игровых площадок (из 163 де</w:t>
        <w:softHyphen/>
        <w:t>монтированных). Документы, подтверждающие оприходование демонтиро</w:t>
        <w:softHyphen/>
        <w:t>ванных элементов на склад отсутствуют, доходы от реализации демонтирован</w:t>
        <w:softHyphen/>
        <w:t>ных площадок, в том числе на металлолом,  на счет учреждения не поступали.</w:t>
      </w:r>
    </w:p>
    <w:p>
      <w:pPr>
        <w:pStyle w:val="Style15"/>
        <w:snapToGrid w:val="false"/>
        <w:spacing w:lineRule="auto" w:line="240" w:before="0" w:after="0"/>
        <w:jc w:val="both"/>
        <w:rPr/>
      </w:pPr>
      <w:r>
        <w:rPr>
          <w:rStyle w:val="Style11"/>
          <w:rFonts w:eastAsia="Arial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По итогам </w:t>
      </w:r>
      <w:r>
        <w:rPr>
          <w:rStyle w:val="Style11"/>
          <w:rFonts w:eastAsia="Arial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контрольного мероприятия </w:t>
      </w:r>
      <w:r>
        <w:rPr>
          <w:rStyle w:val="Style11"/>
          <w:rFonts w:eastAsia="Arial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Контрольно-счетная палата города Фрязино </w:t>
      </w:r>
      <w:r>
        <w:rPr>
          <w:rStyle w:val="Style11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 w:eastAsia="ru-RU" w:bidi="ar-SA"/>
        </w:rPr>
        <w:t>направила</w:t>
      </w:r>
      <w:r>
        <w:rPr>
          <w:rStyle w:val="Style11"/>
          <w:rFonts w:eastAsia="Arial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</w:t>
      </w:r>
      <w:r>
        <w:rPr>
          <w:rStyle w:val="Style11"/>
          <w:rFonts w:eastAsia="Arial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м</w:t>
      </w:r>
      <w:r>
        <w:rPr>
          <w:rStyle w:val="Style11"/>
          <w:rFonts w:eastAsia="Arial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атериалы проверки  в Щелковскую городскую прокуратуру, </w:t>
      </w:r>
      <w:r>
        <w:rPr>
          <w:rStyle w:val="Style11"/>
          <w:rFonts w:eastAsia="Arial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в МБУ «Городское хозяйство направлено предписание с требованиями устранить выявленные нарушения и восстановить в бюджет города незаконно израсходованные денежные средства.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Контрольно-счетной палаты                                    Л.А. Панченко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headerReference w:type="default" r:id="rId2"/>
      <w:footerReference w:type="default" r:id="rId3"/>
      <w:type w:val="nextPage"/>
      <w:pgSz w:w="11906" w:h="16838"/>
      <w:pgMar w:left="1125" w:right="581" w:header="142" w:top="709" w:footer="720" w:bottom="777" w:gutter="0"/>
      <w:pgNumType w:fmt="decimal"/>
      <w:formProt w:val="false"/>
      <w:textDirection w:val="lrTb"/>
      <w:docGrid w:type="default" w:linePitch="4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lang w:val="en-US"/>
      </w:rPr>
    </w:pPr>
    <w:r>
      <w:rPr>
        <w:lang w:val="en-US"/>
      </w:rPr>
      <w:t>I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uppressLineNumbers/>
      <w:tabs>
        <w:tab w:val="center" w:pos="4819" w:leader="none"/>
        <w:tab w:val="right" w:pos="9638" w:leader="none"/>
      </w:tabs>
      <w:spacing w:lineRule="auto" w:line="360" w:before="0" w:after="12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2945"/>
    <w:pPr>
      <w:widowControl/>
      <w:suppressAutoHyphens w:val="true"/>
      <w:bidi w:val="0"/>
      <w:spacing w:lineRule="auto" w:line="240"/>
      <w:jc w:val="left"/>
    </w:pPr>
    <w:rPr>
      <w:rFonts w:ascii="Arial" w:hAnsi="Arial" w:eastAsia="SimSun" w:cs="Mangal"/>
      <w:color w:val="00000A"/>
      <w:sz w:val="20"/>
      <w:szCs w:val="24"/>
      <w:lang w:val="ru-RU" w:eastAsia="hi-IN" w:bidi="hi-IN"/>
    </w:rPr>
  </w:style>
  <w:style w:type="paragraph" w:styleId="1">
    <w:name w:val="Заголовок 1"/>
    <w:basedOn w:val="Style14"/>
    <w:pPr>
      <w:outlineLvl w:val="0"/>
    </w:pPr>
    <w:rPr/>
  </w:style>
  <w:style w:type="paragraph" w:styleId="2">
    <w:name w:val="Заголовок 2"/>
    <w:basedOn w:val="Style14"/>
    <w:pPr>
      <w:outlineLvl w:val="1"/>
    </w:pPr>
    <w:rPr/>
  </w:style>
  <w:style w:type="paragraph" w:styleId="3">
    <w:name w:val="Заголовок 3"/>
    <w:basedOn w:val="Style14"/>
    <w:pPr>
      <w:outlineLvl w:val="2"/>
    </w:pPr>
    <w:rPr/>
  </w:style>
  <w:style w:type="paragraph" w:styleId="5">
    <w:name w:val="Заголовок 5"/>
    <w:basedOn w:val="Normal"/>
    <w:pPr>
      <w:keepNext/>
      <w:ind w:left="2832" w:hanging="0"/>
      <w:jc w:val="right"/>
      <w:outlineLvl w:val="4"/>
    </w:pPr>
    <w:rPr>
      <w:rFonts w:ascii="Times New Roman" w:hAnsi="Times New Roman" w:eastAsia="Times New Roman" w:cs="Times New Roman"/>
      <w:sz w:val="28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qFormat/>
    <w:rsid w:val="00762945"/>
    <w:rPr>
      <w:rFonts w:ascii="Times New Roman" w:hAnsi="Times New Roman" w:eastAsia="Times New Roman" w:cs="Times New Roman"/>
      <w:sz w:val="28"/>
      <w:szCs w:val="20"/>
      <w:lang w:eastAsia="hi-IN" w:bidi="hi-IN"/>
    </w:rPr>
  </w:style>
  <w:style w:type="character" w:styleId="Style11">
    <w:name w:val="Выделение"/>
    <w:qFormat/>
    <w:rsid w:val="00cf5876"/>
    <w:rPr>
      <w:i/>
      <w:iCs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331a7a"/>
    <w:rPr>
      <w:rFonts w:ascii="Tahoma" w:hAnsi="Tahoma" w:eastAsia="SimSun" w:cs="Mangal"/>
      <w:sz w:val="16"/>
      <w:szCs w:val="14"/>
      <w:lang w:eastAsia="hi-IN" w:bidi="hi-IN"/>
    </w:rPr>
  </w:style>
  <w:style w:type="character" w:styleId="ListLabel1" w:customStyle="1">
    <w:name w:val="ListLabel 1"/>
    <w:qFormat/>
    <w:rPr>
      <w:u w:val="single"/>
    </w:rPr>
  </w:style>
  <w:style w:type="character" w:styleId="Blk" w:customStyle="1">
    <w:name w:val="blk"/>
    <w:qFormat/>
    <w:rPr>
      <w:rFonts w:eastAsia="Times New Roman"/>
    </w:rPr>
  </w:style>
  <w:style w:type="character" w:styleId="Style13" w:customStyle="1">
    <w:name w:val="Интернет-ссылка"/>
    <w:rPr>
      <w:color w:val="000080"/>
      <w:u w:val="single"/>
    </w:rPr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ListLabel2">
    <w:name w:val="ListLabel 2"/>
    <w:qFormat/>
    <w:rPr>
      <w:rFonts w:ascii="Times New Roman" w:hAnsi="Times New Roman" w:cs="Symbol"/>
      <w:color w:val="000000"/>
      <w:sz w:val="28"/>
    </w:rPr>
  </w:style>
  <w:style w:type="character" w:styleId="ListLabel3">
    <w:name w:val="ListLabel 3"/>
    <w:qFormat/>
    <w:rPr>
      <w:rFonts w:cs="OpenSymbol;Arial Unicode MS"/>
    </w:rPr>
  </w:style>
  <w:style w:type="character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/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Заглавие"/>
    <w:basedOn w:val="Style14"/>
    <w:pPr/>
    <w:rPr/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0">
    <w:name w:val="Верхний колонтитул"/>
    <w:basedOn w:val="Normal"/>
    <w:rsid w:val="00762945"/>
    <w:pPr>
      <w:suppressLineNumbers/>
      <w:tabs>
        <w:tab w:val="center" w:pos="4819" w:leader="none"/>
        <w:tab w:val="right" w:pos="9638" w:leader="none"/>
      </w:tabs>
      <w:spacing w:lineRule="auto" w:line="360" w:before="0" w:after="120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35f7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31a7a"/>
    <w:pPr/>
    <w:rPr>
      <w:rFonts w:ascii="Tahoma" w:hAnsi="Tahoma"/>
      <w:sz w:val="16"/>
      <w:szCs w:val="14"/>
    </w:rPr>
  </w:style>
  <w:style w:type="paragraph" w:styleId="Style21">
    <w:name w:val="Нижний колонтитул"/>
    <w:basedOn w:val="Normal"/>
    <w:pPr/>
    <w:rPr/>
  </w:style>
  <w:style w:type="paragraph" w:styleId="Style22" w:customStyle="1">
    <w:name w:val="Блочная цитата"/>
    <w:basedOn w:val="Normal"/>
    <w:qFormat/>
    <w:pPr/>
    <w:rPr/>
  </w:style>
  <w:style w:type="paragraph" w:styleId="Style23">
    <w:name w:val="Подзаголовок"/>
    <w:basedOn w:val="Style14"/>
    <w:pPr/>
    <w:rPr/>
  </w:style>
  <w:style w:type="paragraph" w:styleId="Style24">
    <w:name w:val="Основной текст с отступом"/>
    <w:basedOn w:val="Normal"/>
    <w:pPr>
      <w:ind w:firstLine="360"/>
    </w:pPr>
    <w:rPr/>
  </w:style>
  <w:style w:type="paragraph" w:styleId="ConsPlusNormal" w:customStyle="1">
    <w:name w:val="ConsPlusNormal"/>
    <w:qFormat/>
    <w:pPr>
      <w:widowControl/>
      <w:bidi w:val="0"/>
      <w:spacing w:lineRule="auto" w:line="276"/>
      <w:jc w:val="left"/>
    </w:pPr>
    <w:rPr>
      <w:rFonts w:ascii="Arial" w:hAnsi="Arial" w:eastAsia="Arial" w:cs="Courier New"/>
      <w:color w:val="00000A"/>
      <w:sz w:val="20"/>
      <w:szCs w:val="24"/>
      <w:lang w:val="ru-RU" w:eastAsia="en-US" w:bidi="ar-SA"/>
    </w:rPr>
  </w:style>
  <w:style w:type="paragraph" w:styleId="ConsPlusNonformat" w:customStyle="1">
    <w:name w:val="ConsPlusNonformat"/>
    <w:qFormat/>
    <w:pPr>
      <w:widowControl/>
      <w:bidi w:val="0"/>
      <w:spacing w:lineRule="auto" w:line="276"/>
      <w:jc w:val="left"/>
    </w:pPr>
    <w:rPr>
      <w:rFonts w:ascii="Courier New" w:hAnsi="Courier New" w:eastAsia="Arial" w:cs="Courier New"/>
      <w:color w:val="00000A"/>
      <w:sz w:val="20"/>
      <w:szCs w:val="24"/>
      <w:lang w:val="ru-RU" w:eastAsia="en-US" w:bidi="ar-SA"/>
    </w:rPr>
  </w:style>
  <w:style w:type="paragraph" w:styleId="ConsPlusTitle" w:customStyle="1">
    <w:name w:val="ConsPlusTitle"/>
    <w:qFormat/>
    <w:pPr>
      <w:widowControl/>
      <w:bidi w:val="0"/>
      <w:spacing w:lineRule="auto" w:line="276"/>
      <w:jc w:val="left"/>
    </w:pPr>
    <w:rPr>
      <w:rFonts w:ascii="Arial" w:hAnsi="Arial" w:eastAsia="Arial" w:cs="Courier New"/>
      <w:b/>
      <w:color w:val="00000A"/>
      <w:sz w:val="20"/>
      <w:szCs w:val="24"/>
      <w:lang w:val="ru-RU" w:eastAsia="en-US" w:bidi="ar-SA"/>
    </w:rPr>
  </w:style>
  <w:style w:type="paragraph" w:styleId="ConsPlusCell" w:customStyle="1">
    <w:name w:val="ConsPlusCell"/>
    <w:qFormat/>
    <w:pPr>
      <w:widowControl/>
      <w:bidi w:val="0"/>
      <w:spacing w:lineRule="auto" w:line="276"/>
      <w:jc w:val="left"/>
    </w:pPr>
    <w:rPr>
      <w:rFonts w:ascii="Courier New" w:hAnsi="Courier New" w:eastAsia="Arial" w:cs="Courier New"/>
      <w:color w:val="00000A"/>
      <w:sz w:val="20"/>
      <w:szCs w:val="24"/>
      <w:lang w:val="ru-RU" w:eastAsia="en-US" w:bidi="ar-SA"/>
    </w:rPr>
  </w:style>
  <w:style w:type="paragraph" w:styleId="ConsPlusDocList" w:customStyle="1">
    <w:name w:val="ConsPlusDocList"/>
    <w:qFormat/>
    <w:pPr>
      <w:widowControl/>
      <w:bidi w:val="0"/>
      <w:spacing w:lineRule="auto" w:line="276"/>
      <w:jc w:val="left"/>
    </w:pPr>
    <w:rPr>
      <w:rFonts w:ascii="Courier New" w:hAnsi="Courier New" w:eastAsia="Arial" w:cs="Courier New"/>
      <w:color w:val="00000A"/>
      <w:sz w:val="20"/>
      <w:szCs w:val="24"/>
      <w:lang w:val="ru-RU" w:eastAsia="en-US" w:bidi="ar-SA"/>
    </w:rPr>
  </w:style>
  <w:style w:type="paragraph" w:styleId="ConsPlusTitlePage" w:customStyle="1">
    <w:name w:val="ConsPlusTitlePage"/>
    <w:qFormat/>
    <w:pPr>
      <w:widowControl/>
      <w:bidi w:val="0"/>
      <w:spacing w:lineRule="auto" w:line="276"/>
      <w:jc w:val="left"/>
    </w:pPr>
    <w:rPr>
      <w:rFonts w:ascii="Tahoma" w:hAnsi="Tahoma" w:eastAsia="Arial" w:cs="Courier New"/>
      <w:color w:val="00000A"/>
      <w:sz w:val="20"/>
      <w:szCs w:val="24"/>
      <w:lang w:val="ru-RU" w:eastAsia="en-US" w:bidi="ar-SA"/>
    </w:rPr>
  </w:style>
  <w:style w:type="paragraph" w:styleId="ConsPlusJurTerm" w:customStyle="1">
    <w:name w:val="ConsPlusJurTerm"/>
    <w:qFormat/>
    <w:pPr>
      <w:widowControl/>
      <w:bidi w:val="0"/>
      <w:spacing w:lineRule="auto" w:line="276"/>
      <w:jc w:val="left"/>
    </w:pPr>
    <w:rPr>
      <w:rFonts w:ascii="Tahoma" w:hAnsi="Tahoma" w:eastAsia="Arial" w:cs="Courier New"/>
      <w:color w:val="00000A"/>
      <w:sz w:val="22"/>
      <w:szCs w:val="24"/>
      <w:lang w:val="ru-RU" w:eastAsia="en-US" w:bidi="ar-SA"/>
    </w:rPr>
  </w:style>
  <w:style w:type="paragraph" w:styleId="1e1e1e1e1e41414141413d3d3d3d3d3e3e3e3e3e32323232323d3d3d3d3d3e3e3e3e3e3939393939424242424235353535353a3a3a3a3a41414141414242424242" w:customStyle="1">
    <w:name w:val="О1e1e1e1e1eс4141414141н3d3d3d3d3dо3e3e3e3e3eв3232323232н3d3d3d3d3dо3e3e3e3e3eй3939393939 т4242424242е3535353535к3a3a3a3a3aс4141414141т4242424242"/>
    <w:qFormat/>
    <w:pPr>
      <w:widowControl w:val="false"/>
      <w:bidi w:val="0"/>
      <w:spacing w:lineRule="auto" w:line="276" w:before="0" w:after="140"/>
      <w:jc w:val="left"/>
    </w:pPr>
    <w:rPr>
      <w:rFonts w:ascii="Liberation Serif" w:hAnsi="Liberation Serif" w:eastAsia="Times New Roman" w:cs="Liberation Serif"/>
      <w:color w:val="000000"/>
      <w:sz w:val="24"/>
      <w:szCs w:val="24"/>
      <w:lang w:val="ru-RU" w:eastAsia="zh-CN" w:bidi="hi-IN"/>
    </w:rPr>
  </w:style>
  <w:style w:type="paragraph" w:styleId="1a1a1a1a1a4040404040303030303041414141413d3d3d3d3d30303030304f4f4f4f4f4141414141424242424240404040403e3e3e3e3e3a3a3a3a3a30303030301" w:customStyle="1">
    <w:name w:val="К1a1a1a1a1aр4040404040а3030303030с4141414141н3d3d3d3d3dа3030303030я4f4f4f4f4f с4141414141т4242424242р4040404040о3e3e3e3e3eк3a3a3a3a3aа30303030301"/>
    <w:basedOn w:val="1e1e1e1e1e41414141413d3d3d3d3d3e3e3e3e3e32323232323d3d3d3d3d3e3e3e3e3e3939393939424242424235353535353a3a3a3a3a41414141414242424242"/>
    <w:qFormat/>
    <w:pPr>
      <w:ind w:firstLine="210"/>
    </w:pPr>
    <w:rPr/>
  </w:style>
  <w:style w:type="paragraph" w:styleId="1e1e1e1e414141413d3d3d3d3e3e3e3e323232323d3d3d3d3e3e3e3e3939393942424242353535353a3a3a3a4141414142424242" w:customStyle="1">
    <w:name w:val="О1e1e1e1eс41414141н3d3d3d3dо3e3e3e3eв32323232н3d3d3d3dо3e3e3e3eй39393939 т42424242е35353535к3a3a3a3aс41414141т42424242"/>
    <w:qFormat/>
    <w:pPr>
      <w:widowControl w:val="false"/>
      <w:bidi w:val="0"/>
      <w:spacing w:lineRule="auto" w:line="276" w:before="0" w:after="120"/>
      <w:jc w:val="left"/>
    </w:pPr>
    <w:rPr>
      <w:rFonts w:ascii="Liberation Serif" w:hAnsi="Liberation Serif" w:eastAsia="Times New Roman" w:cs="Liberation Serif"/>
      <w:color w:val="000000"/>
      <w:sz w:val="24"/>
      <w:szCs w:val="24"/>
      <w:lang w:val="ru-RU" w:eastAsia="zh-CN" w:bidi="hi-IN"/>
    </w:rPr>
  </w:style>
  <w:style w:type="paragraph" w:styleId="1e413d3e323d3e3942353a4142413e424142433f3e3c" w:customStyle="1">
    <w:name w:val="1e413d3e323d3e39 42353a4142 41 3e424142433f3e3c"/>
    <w:basedOn w:val="1e1e1e1e414141413d3d3d3d3e3e3e3e323232323d3d3d3d3e3e3e3e3939393942424242353535353a3a3a3a4141414142424242"/>
    <w:qFormat/>
    <w:pPr>
      <w:spacing w:before="0" w:after="140"/>
      <w:ind w:firstLine="283"/>
    </w:pPr>
    <w:rPr>
      <w:rFonts w:eastAsia="SimSun;宋体"/>
    </w:rPr>
  </w:style>
  <w:style w:type="paragraph" w:styleId="NormalWeb">
    <w:name w:val="Normal (Web)"/>
    <w:basedOn w:val="Normal"/>
    <w:qFormat/>
    <w:pPr>
      <w:suppressAutoHyphens w:val="false"/>
      <w:spacing w:before="100" w:after="100"/>
    </w:pPr>
    <w:rPr>
      <w:rFonts w:ascii="Liberation Serif" w:hAnsi="Liberation Serif" w:eastAsia="Times New Roman" w:cs="Liberation Serif"/>
      <w:color w:val="000000"/>
      <w:sz w:val="24"/>
      <w:lang w:bidi="ar-SA"/>
    </w:rPr>
  </w:style>
  <w:style w:type="paragraph" w:styleId="Western">
    <w:name w:val="western"/>
    <w:basedOn w:val="Normal"/>
    <w:qFormat/>
    <w:pPr>
      <w:suppressAutoHyphens w:val="false"/>
      <w:spacing w:before="280" w:after="0"/>
      <w:jc w:val="both"/>
    </w:pPr>
    <w:rPr>
      <w:color w:val="000000"/>
    </w:rPr>
  </w:style>
  <w:style w:type="paragraph" w:styleId="Style25">
    <w:name w:val="Содержимое таблицы"/>
    <w:basedOn w:val="Normal"/>
    <w:qFormat/>
    <w:pPr>
      <w:widowControl w:val="false"/>
      <w:suppressLineNumbers/>
    </w:pPr>
    <w:rPr>
      <w:rFonts w:ascii="Arial" w:hAnsi="Arial" w:eastAsia="SimSun;宋体" w:cs="Mangal"/>
      <w:sz w:val="20"/>
      <w:lang w:bidi="hi-IN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Application>LibreOffice/5.0.0.5$Windows_x86 LibreOffice_project/1b1a90865e348b492231e1c451437d7a15bb262b</Application>
  <Paragraphs>24</Paragraphs>
  <Company>КонсультантПлюс Версия 4016.00.12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2016-10-24T14:58:00Z</dcterms:created>
  <dc:creator>Панченко</dc:creator>
  <dc:language>ru-RU</dc:language>
  <cp:lastPrinted>2016-02-04T09:11:00Z</cp:lastPrinted>
  <dcterms:modified xsi:type="dcterms:W3CDTF">2017-10-23T14:06:14Z</dcterms:modified>
  <cp:revision>90</cp:revision>
  <dc:title>"Бюджетный кодекс Российской Федерации" от 31.07.1998 N 145-ФЗ(ред. от 03.07.2016)(с изм. и доп., вступ. в силу с 01.09.2016)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4016.00.12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