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 основных итогах контрольного мероприятия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«П</w:t>
      </w:r>
      <w:r>
        <w:rPr>
          <w:rFonts w:eastAsia="Arial" w:cs="Times New Roman" w:ascii="Times New Roman" w:hAnsi="Times New Roman"/>
          <w:b/>
          <w:sz w:val="28"/>
          <w:szCs w:val="28"/>
        </w:rPr>
        <w:t xml:space="preserve">роверка </w:t>
      </w:r>
      <w:r>
        <w:rPr>
          <w:rFonts w:eastAsia="Arial" w:cs="Times New Roman" w:ascii="Times New Roman" w:hAnsi="Times New Roman"/>
          <w:b/>
          <w:sz w:val="28"/>
          <w:szCs w:val="28"/>
        </w:rPr>
        <w:t>соблюдения бюджетного законодательства в рамках реализации государственной программы РФ «Доступная среда на 2011-2020 годы» на территории города Фрязино за 2015-2016 годы.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2.2 плана работы Контрольно-счетной палаты города Фрязино на 2017 год, утвержденного распоряжением председателя  Контрольно-счетной палаты от 30.12.2016 № 82 (с изм.), в период с 06 по 08 февраля 2017 года </w:t>
      </w:r>
      <w:r>
        <w:rPr>
          <w:rFonts w:eastAsia="Times New Roman" w:cs="Times New Roman" w:ascii="Times New Roman" w:hAnsi="Times New Roman"/>
          <w:sz w:val="28"/>
          <w:szCs w:val="28"/>
          <w:u w:val="none"/>
        </w:rPr>
        <w:t xml:space="preserve">совместно со </w:t>
      </w:r>
      <w:r>
        <w:rPr>
          <w:rFonts w:eastAsia="Times New Roman" w:cs="Times New Roman;serif" w:ascii="Times New Roman;serif" w:hAnsi="Times New Roman;serif"/>
          <w:sz w:val="28"/>
          <w:szCs w:val="28"/>
          <w:u w:val="none"/>
        </w:rPr>
        <w:t>Щелковской городской прокуратурой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проведена </w:t>
      </w:r>
      <w:r>
        <w:rPr>
          <w:rFonts w:eastAsia="Arial" w:cs="Times New Roman" w:ascii="Times New Roman" w:hAnsi="Times New Roman"/>
          <w:sz w:val="28"/>
          <w:szCs w:val="28"/>
        </w:rPr>
        <w:t xml:space="preserve">проверка соблюдения бюджетного законодательства в рамках реализации государственной программы РФ «Доступная среда на 2011-2020 годы» на территории города Фрязино за 2015-2016 годы. </w:t>
      </w:r>
    </w:p>
    <w:p>
      <w:pPr>
        <w:pStyle w:val="Normal"/>
        <w:spacing w:before="0" w:after="11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результате проведенного контрольного мероприятия установлено: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1"/>
          <w:rFonts w:eastAsia=";MS Mincho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>В городе Фрязино,</w:t>
      </w:r>
      <w:r>
        <w:rPr>
          <w:rStyle w:val="Style11"/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 xml:space="preserve"> в рамках исполнения Государственной Программы РФ «Доступная среда» на 2011-2020 годы, постановлением администрации города от 01.10.2014 № 627 (с изм.) утверждена муниципальная Программа «Социальная поддержка населения города Фрязино» на 2015-2019 годы.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структуре вышеуказанной муниципальной Программы утверждена подпрограмма «Доступная среда». Исполнителями подпрограммы являются Управление образования администрации города и подведомственные ему учреждения образования и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Управление культуры, физической культуры и спорта администрации города и подведомственные ему учреждения.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Подпрограмма содержит описание ожидаемых конечных результатов и  ежегодно подлежит оценке эффективности ее реализации. </w:t>
      </w:r>
    </w:p>
    <w:p>
      <w:pPr>
        <w:pStyle w:val="Normal"/>
        <w:tabs>
          <w:tab w:val="left" w:pos="0" w:leader="none"/>
        </w:tabs>
        <w:snapToGrid w:val="false"/>
        <w:spacing w:lineRule="atLeast" w:line="200" w:before="0" w:after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 сфере образования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города Фрязино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целевые показатели эффективности реализации подпрограммы не установлены, тогда как Государственной программой Московской области «Социальная защита населения Московской области» на 2014-2018 годы, на основании которой и производилось финансирование городского округа Фрязино за счет средств субсидии из федерального и областного бюджетов, предусмотрен  целевой  показатель -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Московской области.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Решением Совета депутатов города Фрязино от 10.12.2015 № 33 «О бюджете города Фрязино на 2016 год и на плановый период 2017 и 2018 годов» Управлению образования на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одпрограмму «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Доступная среда»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предусмотрены бюджетные ассигнования за счет средств местного бюджета в размере 150,0 тыс. руб. на создание условий для инклюзивного образования детей-инвалидов в общеобразовательных учреждениях и 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ru-RU"/>
        </w:rPr>
        <w:t xml:space="preserve">Управлению культуры, физической культуры и спорта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550,0 тыс. руб. 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ru-RU"/>
        </w:rPr>
        <w:t>на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оздание безбарьерной среды в учреждениях культуры. </w:t>
      </w:r>
    </w:p>
    <w:p>
      <w:pPr>
        <w:pStyle w:val="ConsPlusNormal"/>
        <w:tabs>
          <w:tab w:val="left" w:pos="0" w:leader="none"/>
        </w:tabs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итогам исполнения бюджета города Фрязино за 2016 год расходы на финансирование мероприятий по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подпрограмме «Доступная среда» не производились, мероприятия подпрограммы не исполнялись, что свидетельствует о неэффективности реализации подпрограммы. </w:t>
      </w:r>
    </w:p>
    <w:p>
      <w:pPr>
        <w:pStyle w:val="Normal"/>
        <w:tabs>
          <w:tab w:val="left" w:pos="0" w:leader="none"/>
        </w:tabs>
        <w:snapToGrid w:val="false"/>
        <w:spacing w:lineRule="auto" w:line="240" w:before="0" w:after="0"/>
        <w:ind w:left="0" w:right="-30" w:hanging="0"/>
        <w:jc w:val="both"/>
        <w:rPr/>
      </w:pP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В результате 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>настоящей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проверки установлен факт нецелевого использования бюджетных средств</w:t>
      </w:r>
      <w:r>
        <w:rPr>
          <w:rStyle w:val="Style11"/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в размере 48 850,0 руб., допущенный </w:t>
      </w:r>
      <w:r>
        <w:rPr>
          <w:rStyle w:val="Style1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МУ «Культурный центр г. Фрязино»  при исполнении муниципального контракта № 0748300000715000200 от 23.12.2015 на приобретение материалов, устройств и оборудования для создания доступной среды жизнедеятельности инвалидов и других маломобильных групп населения в учреждении (и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спользование средств субсидии на выполнение  муниципального задания для оплаты расходов, финансирование которых предусмотрено за счет средств субсидии на иные цели). </w:t>
      </w:r>
    </w:p>
    <w:p>
      <w:pPr>
        <w:pStyle w:val="Normal"/>
        <w:spacing w:lineRule="auto" w:line="240" w:before="0" w:after="0"/>
        <w:ind w:left="0" w:right="-30" w:hanging="0"/>
        <w:jc w:val="both"/>
        <w:rPr/>
      </w:pPr>
      <w:r>
        <w:rPr>
          <w:rStyle w:val="Style11"/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В результате проверки установлены факты неэффективного использования бюджетных средств  МОУ Гимназия города Фрязино в размере </w:t>
      </w:r>
      <w:r>
        <w:rPr>
          <w:rStyle w:val="Style1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18 074,53 руб. (до настоящего времени не установлено отдельное оборудование, приобретенное в 2015 году учреждением в рамках реализации мероприятий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подпрограммы «Доступная среда»).</w:t>
      </w:r>
    </w:p>
    <w:p>
      <w:pPr>
        <w:pStyle w:val="Normal"/>
        <w:tabs>
          <w:tab w:val="left" w:pos="0" w:leader="none"/>
        </w:tabs>
        <w:snapToGrid w:val="false"/>
        <w:spacing w:lineRule="auto" w:line="240" w:before="0" w:after="0"/>
        <w:ind w:left="0" w:right="-30" w:hanging="0"/>
        <w:jc w:val="both"/>
        <w:rPr/>
      </w:pP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>Главе города, р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уководителям </w:t>
      </w:r>
      <w:r>
        <w:rPr>
          <w:rStyle w:val="Style11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Управления образования и 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>Управления культуры, физической культуры и спорта Контрольно-счетной палатой направлены Представлени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>я</w:t>
      </w:r>
      <w:r>
        <w:rPr>
          <w:rStyle w:val="Style11"/>
          <w:rFonts w:eastAsia="Arial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и Предписание с требованиями устранить выявленные нарушения.</w:t>
      </w:r>
    </w:p>
    <w:p>
      <w:pPr>
        <w:pStyle w:val="Normal"/>
        <w:tabs>
          <w:tab w:val="left" w:pos="0" w:leader="none"/>
        </w:tabs>
        <w:snapToGrid w:val="false"/>
        <w:spacing w:lineRule="atLeast" w:line="200" w:before="0" w:after="0"/>
        <w:jc w:val="both"/>
        <w:rPr>
          <w:rFonts w:ascii="Times New Roman" w:hAnsi="Times New Roman" w:eastAsia="Arial"/>
          <w:sz w:val="28"/>
          <w:szCs w:val="28"/>
        </w:rPr>
      </w:pPr>
      <w:r>
        <w:rPr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                                    Л.А. Панченко</w:t>
      </w:r>
    </w:p>
    <w:tbl>
      <w:tblPr>
        <w:tblW w:w="1095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51"/>
        <w:gridCol w:w="23"/>
        <w:gridCol w:w="2027"/>
        <w:gridCol w:w="879"/>
        <w:gridCol w:w="3884"/>
        <w:gridCol w:w="1594"/>
      </w:tblGrid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1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90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5" w:right="581" w:header="142" w:top="709" w:footer="720" w:bottom="777" w:gutter="0"/>
      <w:pgNumType w:fmt="decimal"/>
      <w:formProt w:val="false"/>
      <w:textDirection w:val="lrTb"/>
      <w:docGrid w:type="default" w:linePitch="4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altName w:val="serif"/>
    <w:charset w:val="cc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  <w:t>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945"/>
    <w:pPr>
      <w:widowControl/>
      <w:suppressAutoHyphens w:val="true"/>
      <w:bidi w:val="0"/>
      <w:spacing w:lineRule="auto" w:line="240"/>
      <w:jc w:val="left"/>
    </w:pPr>
    <w:rPr>
      <w:rFonts w:ascii="Arial" w:hAnsi="Arial" w:eastAsia="SimSun" w:cs="Mangal"/>
      <w:color w:val="00000A"/>
      <w:sz w:val="20"/>
      <w:szCs w:val="24"/>
      <w:lang w:val="ru-RU" w:eastAsia="hi-IN" w:bidi="hi-IN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paragraph" w:styleId="5">
    <w:name w:val="Заголовок 5"/>
    <w:basedOn w:val="Normal"/>
    <w:pPr>
      <w:keepNext/>
      <w:ind w:left="2832" w:hanging="0"/>
      <w:jc w:val="right"/>
      <w:outlineLvl w:val="4"/>
    </w:pPr>
    <w:rPr>
      <w:rFonts w:ascii="Times New Roman" w:hAnsi="Times New Roman" w:eastAsia="Times New Roman" w:cs="Times New Roman"/>
      <w:sz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762945"/>
    <w:rPr>
      <w:rFonts w:ascii="Times New Roman" w:hAnsi="Times New Roman" w:eastAsia="Times New Roman" w:cs="Times New Roman"/>
      <w:sz w:val="28"/>
      <w:szCs w:val="20"/>
      <w:lang w:eastAsia="hi-IN" w:bidi="hi-IN"/>
    </w:rPr>
  </w:style>
  <w:style w:type="character" w:styleId="Style11">
    <w:name w:val="Выделение"/>
    <w:qFormat/>
    <w:rsid w:val="00cf5876"/>
    <w:rPr>
      <w:i/>
      <w:i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31a7a"/>
    <w:rPr>
      <w:rFonts w:ascii="Tahoma" w:hAnsi="Tahoma" w:eastAsia="SimSun" w:cs="Mangal"/>
      <w:sz w:val="16"/>
      <w:szCs w:val="14"/>
      <w:lang w:eastAsia="hi-IN" w:bidi="hi-IN"/>
    </w:rPr>
  </w:style>
  <w:style w:type="character" w:styleId="ListLabel1" w:customStyle="1">
    <w:name w:val="ListLabel 1"/>
    <w:qFormat/>
    <w:rPr>
      <w:u w:val="single"/>
    </w:rPr>
  </w:style>
  <w:style w:type="character" w:styleId="Blk" w:customStyle="1">
    <w:name w:val="blk"/>
    <w:qFormat/>
    <w:rPr>
      <w:rFonts w:eastAsia="Times New Roman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3z0">
    <w:name w:val="WW8Num3z0"/>
    <w:qFormat/>
    <w:rPr>
      <w:rFonts w:ascii="Times New Roman" w:hAnsi="Times New Roman" w:eastAsia="Arial" w:cs="Times New Roman"/>
      <w:sz w:val="28"/>
      <w:szCs w:val="34"/>
    </w:rPr>
  </w:style>
  <w:style w:type="character" w:styleId="ListLabel2">
    <w:name w:val="ListLabel 2"/>
    <w:qFormat/>
    <w:rPr>
      <w:rFonts w:ascii="Times New Roman" w:hAnsi="Times New Roman" w:eastAsia="Arial" w:cs="Times New Roman"/>
      <w:sz w:val="28"/>
      <w:szCs w:val="34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Верхний колонтитул"/>
    <w:basedOn w:val="Normal"/>
    <w:rsid w:val="00762945"/>
    <w:pPr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5f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1a7a"/>
    <w:pPr/>
    <w:rPr>
      <w:rFonts w:ascii="Tahoma" w:hAnsi="Tahoma"/>
      <w:sz w:val="16"/>
      <w:szCs w:val="14"/>
    </w:rPr>
  </w:style>
  <w:style w:type="paragraph" w:styleId="Style21">
    <w:name w:val="Нижний колонтитул"/>
    <w:basedOn w:val="Normal"/>
    <w:pPr/>
    <w:rPr/>
  </w:style>
  <w:style w:type="paragraph" w:styleId="Style22" w:customStyle="1">
    <w:name w:val="Блочная цитата"/>
    <w:basedOn w:val="Normal"/>
    <w:qFormat/>
    <w:pPr/>
    <w:rPr/>
  </w:style>
  <w:style w:type="paragraph" w:styleId="Style23">
    <w:name w:val="Подзаголовок"/>
    <w:basedOn w:val="Style14"/>
    <w:pPr/>
    <w:rPr/>
  </w:style>
  <w:style w:type="paragraph" w:styleId="Style24">
    <w:name w:val="Основной текст с отступом"/>
    <w:basedOn w:val="Normal"/>
    <w:pPr>
      <w:ind w:firstLine="360"/>
    </w:pPr>
    <w:rPr/>
  </w:style>
  <w:style w:type="paragraph" w:styleId="ConsPlusNormal" w:customStyle="1">
    <w:name w:val="ConsPlusNormal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color w:val="00000A"/>
      <w:sz w:val="20"/>
      <w:szCs w:val="24"/>
      <w:lang w:val="ru-RU" w:eastAsia="en-US" w:bidi="ar-SA"/>
    </w:rPr>
  </w:style>
  <w:style w:type="paragraph" w:styleId="ConsPlusNonformat" w:customStyle="1">
    <w:name w:val="ConsPlusNonforma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b/>
      <w:color w:val="00000A"/>
      <w:sz w:val="20"/>
      <w:szCs w:val="24"/>
      <w:lang w:val="ru-RU" w:eastAsia="en-US" w:bidi="ar-SA"/>
    </w:rPr>
  </w:style>
  <w:style w:type="paragraph" w:styleId="ConsPlusCell" w:customStyle="1">
    <w:name w:val="ConsPlusCell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DocList" w:customStyle="1">
    <w:name w:val="ConsPlusDocLis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Page" w:customStyle="1">
    <w:name w:val="ConsPlusTitlePage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0"/>
      <w:szCs w:val="24"/>
      <w:lang w:val="ru-RU" w:eastAsia="en-US" w:bidi="ar-SA"/>
    </w:rPr>
  </w:style>
  <w:style w:type="paragraph" w:styleId="ConsPlusJurTerm" w:customStyle="1">
    <w:name w:val="ConsPlusJurTerm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2"/>
      <w:szCs w:val="24"/>
      <w:lang w:val="ru-RU" w:eastAsia="en-US" w:bidi="ar-SA"/>
    </w:rPr>
  </w:style>
  <w:style w:type="paragraph" w:styleId="1e1e1e1e1e41414141413d3d3d3d3d3e3e3e3e3e32323232323d3d3d3d3d3e3e3e3e3e3939393939424242424235353535353a3a3a3a3a41414141414242424242" w:customStyle="1">
    <w:name w:val="О1e1e1e1e1eс4141414141н3d3d3d3d3dо3e3e3e3e3eв3232323232н3d3d3d3d3dо3e3e3e3e3eй3939393939 т4242424242е3535353535к3a3a3a3a3aс4141414141т4242424242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a1a1a1a1a4040404040303030303041414141413d3d3d3d3d30303030304f4f4f4f4f4141414141424242424240404040403e3e3e3e3e3a3a3a3a3a30303030301" w:customStyle="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qFormat/>
    <w:pPr>
      <w:ind w:firstLine="210"/>
    </w:pPr>
    <w:rPr/>
  </w:style>
  <w:style w:type="paragraph" w:styleId="1e1e1e1e414141413d3d3d3d3e3e3e3e323232323d3d3d3d3e3e3e3e3939393942424242353535353a3a3a3a4141414142424242" w:customStyle="1">
    <w:name w:val="О1e1e1e1eс41414141н3d3d3d3dо3e3e3e3eв32323232н3d3d3d3dо3e3e3e3eй39393939 т42424242е35353535к3a3a3a3aс41414141т42424242"/>
    <w:qFormat/>
    <w:pPr>
      <w:widowControl w:val="false"/>
      <w:bidi w:val="0"/>
      <w:spacing w:lineRule="auto" w:line="276" w:before="0" w:after="12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e413d3e323d3e3942353a4142413e424142433f3e3c" w:customStyle="1">
    <w:name w:val="1e413d3e323d3e39 42353a4142 41 3e424142433f3e3c"/>
    <w:basedOn w:val="1e1e1e1e414141413d3d3d3d3e3e3e3e323232323d3d3d3d3e3e3e3e3939393942424242353535353a3a3a3a4141414142424242"/>
    <w:qFormat/>
    <w:pPr>
      <w:spacing w:before="0" w:after="140"/>
      <w:ind w:firstLine="283"/>
    </w:pPr>
    <w:rPr>
      <w:rFonts w:eastAsia="SimSun;宋体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Liberation Serif" w:hAnsi="Liberation Serif" w:eastAsia="Times New Roman" w:cs="Liberation Serif"/>
      <w:color w:val="000000"/>
      <w:sz w:val="24"/>
      <w:lang w:bidi="ar-SA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Application>LibreOffice/5.0.0.5$Windows_x86 LibreOffice_project/1b1a90865e348b492231e1c451437d7a15bb262b</Application>
  <Paragraphs>15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2016-10-24T14:58:00Z</dcterms:created>
  <dc:creator>Панченко</dc:creator>
  <dc:language>ru-RU</dc:language>
  <cp:lastPrinted>2016-02-04T09:11:00Z</cp:lastPrinted>
  <dcterms:modified xsi:type="dcterms:W3CDTF">2017-02-20T11:44:22Z</dcterms:modified>
  <cp:revision>78</cp:revision>
  <dc:title>"Бюджетный кодекс Российской Федерации" от 31.07.1998 N 145-ФЗ(ред. от 03.07.2016)(с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